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9F" w:rsidRPr="00971A85" w:rsidRDefault="002C72AE" w:rsidP="00452D9F">
      <w:pPr>
        <w:shd w:val="clear" w:color="auto" w:fill="FFFFFF"/>
        <w:spacing w:line="580" w:lineRule="exact"/>
        <w:jc w:val="center"/>
        <w:rPr>
          <w:rFonts w:ascii="宋体" w:eastAsia="宋体" w:hAnsi="宋体" w:cs="Arial"/>
          <w:b/>
          <w:bCs/>
          <w:kern w:val="0"/>
          <w:sz w:val="44"/>
          <w:szCs w:val="44"/>
        </w:rPr>
      </w:pPr>
      <w:r w:rsidRPr="00971A85">
        <w:rPr>
          <w:rFonts w:ascii="宋体" w:eastAsia="宋体" w:hAnsi="宋体" w:cs="Arial" w:hint="eastAsia"/>
          <w:b/>
          <w:bCs/>
          <w:kern w:val="0"/>
          <w:sz w:val="44"/>
          <w:szCs w:val="44"/>
        </w:rPr>
        <w:t>关于郸城县</w:t>
      </w:r>
      <w:bookmarkStart w:id="0" w:name="OLE_LINK1"/>
      <w:bookmarkStart w:id="1" w:name="OLE_LINK2"/>
      <w:r w:rsidRPr="00971A85">
        <w:rPr>
          <w:rFonts w:ascii="宋体" w:eastAsia="宋体" w:hAnsi="宋体" w:cs="Arial" w:hint="eastAsia"/>
          <w:b/>
          <w:bCs/>
          <w:kern w:val="0"/>
          <w:sz w:val="44"/>
          <w:szCs w:val="44"/>
        </w:rPr>
        <w:t>201</w:t>
      </w:r>
      <w:r w:rsidR="00EE58A0" w:rsidRPr="00971A85">
        <w:rPr>
          <w:rFonts w:ascii="宋体" w:eastAsia="宋体" w:hAnsi="宋体" w:cs="Arial" w:hint="eastAsia"/>
          <w:b/>
          <w:bCs/>
          <w:kern w:val="0"/>
          <w:sz w:val="44"/>
          <w:szCs w:val="44"/>
        </w:rPr>
        <w:t>6</w:t>
      </w:r>
      <w:r w:rsidRPr="00971A85">
        <w:rPr>
          <w:rFonts w:ascii="宋体" w:eastAsia="宋体" w:hAnsi="宋体" w:cs="Arial" w:hint="eastAsia"/>
          <w:b/>
          <w:bCs/>
          <w:kern w:val="0"/>
          <w:sz w:val="44"/>
          <w:szCs w:val="44"/>
        </w:rPr>
        <w:t>年财政</w:t>
      </w:r>
      <w:r w:rsidR="007E3B2B">
        <w:rPr>
          <w:rFonts w:ascii="宋体" w:eastAsia="宋体" w:hAnsi="宋体" w:cs="Arial" w:hint="eastAsia"/>
          <w:b/>
          <w:bCs/>
          <w:kern w:val="0"/>
          <w:sz w:val="44"/>
          <w:szCs w:val="44"/>
        </w:rPr>
        <w:t>总</w:t>
      </w:r>
      <w:r w:rsidRPr="00971A85">
        <w:rPr>
          <w:rFonts w:ascii="宋体" w:eastAsia="宋体" w:hAnsi="宋体" w:cs="Arial" w:hint="eastAsia"/>
          <w:b/>
          <w:bCs/>
          <w:kern w:val="0"/>
          <w:sz w:val="44"/>
          <w:szCs w:val="44"/>
        </w:rPr>
        <w:t>决算</w:t>
      </w:r>
      <w:bookmarkEnd w:id="0"/>
      <w:bookmarkEnd w:id="1"/>
    </w:p>
    <w:p w:rsidR="00C5568E" w:rsidRPr="00971A85" w:rsidRDefault="002C72AE" w:rsidP="002F515C">
      <w:pPr>
        <w:shd w:val="clear" w:color="auto" w:fill="FFFFFF"/>
        <w:spacing w:line="580" w:lineRule="exact"/>
        <w:jc w:val="center"/>
        <w:rPr>
          <w:rFonts w:ascii="Arial" w:eastAsia="宋体" w:hAnsi="Arial" w:cs="Arial"/>
          <w:kern w:val="0"/>
          <w:szCs w:val="21"/>
        </w:rPr>
      </w:pPr>
      <w:r w:rsidRPr="00971A85">
        <w:rPr>
          <w:rFonts w:ascii="宋体" w:eastAsia="宋体" w:hAnsi="宋体" w:cs="Arial" w:hint="eastAsia"/>
          <w:b/>
          <w:bCs/>
          <w:kern w:val="0"/>
          <w:sz w:val="44"/>
          <w:szCs w:val="44"/>
        </w:rPr>
        <w:t>的</w:t>
      </w:r>
      <w:r w:rsidR="00452D9F">
        <w:rPr>
          <w:rFonts w:ascii="宋体" w:eastAsia="宋体" w:hAnsi="宋体" w:cs="Arial" w:hint="eastAsia"/>
          <w:b/>
          <w:bCs/>
          <w:kern w:val="0"/>
          <w:sz w:val="44"/>
          <w:szCs w:val="44"/>
        </w:rPr>
        <w:t>说明</w:t>
      </w:r>
    </w:p>
    <w:p w:rsidR="00C5568E" w:rsidRPr="00971A85" w:rsidRDefault="00A54AE9" w:rsidP="00452D9F">
      <w:pPr>
        <w:shd w:val="clear" w:color="auto" w:fill="FFFFFF"/>
        <w:spacing w:line="580" w:lineRule="exact"/>
        <w:ind w:firstLineChars="200" w:firstLine="640"/>
        <w:rPr>
          <w:rFonts w:ascii="Arial" w:eastAsia="宋体" w:hAnsi="Arial" w:cs="Arial"/>
          <w:kern w:val="0"/>
          <w:szCs w:val="21"/>
        </w:rPr>
      </w:pPr>
      <w:r w:rsidRPr="00971A85">
        <w:rPr>
          <w:rFonts w:ascii="楷体_GB2312" w:eastAsia="楷体_GB2312" w:hAnsi="Arial" w:cs="Arial" w:hint="eastAsia"/>
          <w:kern w:val="0"/>
          <w:sz w:val="32"/>
          <w:szCs w:val="32"/>
        </w:rPr>
        <w:softHyphen/>
      </w:r>
      <w:r w:rsidRPr="00971A85">
        <w:rPr>
          <w:rFonts w:ascii="楷体_GB2312" w:eastAsia="楷体_GB2312" w:hAnsi="Arial" w:cs="Arial" w:hint="eastAsia"/>
          <w:kern w:val="0"/>
          <w:sz w:val="32"/>
          <w:szCs w:val="32"/>
        </w:rPr>
        <w:softHyphen/>
      </w:r>
      <w:r w:rsidR="00BF58B4" w:rsidRPr="00971A85">
        <w:rPr>
          <w:rFonts w:ascii="楷体_GB2312" w:eastAsia="楷体_GB2312" w:hAnsi="Arial" w:cs="Arial" w:hint="eastAsia"/>
          <w:kern w:val="0"/>
          <w:sz w:val="32"/>
          <w:szCs w:val="32"/>
        </w:rPr>
        <w:t xml:space="preserve">  </w:t>
      </w:r>
    </w:p>
    <w:p w:rsidR="00C5568E" w:rsidRPr="00971A85" w:rsidRDefault="002C72AE" w:rsidP="00BF58B4">
      <w:pPr>
        <w:shd w:val="clear" w:color="auto" w:fill="FFFFFF"/>
        <w:spacing w:line="580" w:lineRule="exact"/>
        <w:ind w:firstLineChars="200" w:firstLine="640"/>
        <w:rPr>
          <w:rFonts w:ascii="Arial" w:eastAsia="宋体" w:hAnsi="Arial" w:cs="Arial"/>
          <w:kern w:val="0"/>
          <w:szCs w:val="21"/>
        </w:rPr>
      </w:pPr>
      <w:r w:rsidRPr="00971A85">
        <w:rPr>
          <w:rFonts w:ascii="宋体" w:eastAsia="宋体" w:hAnsi="宋体" w:cs="Arial" w:hint="eastAsia"/>
          <w:kern w:val="0"/>
          <w:sz w:val="32"/>
          <w:szCs w:val="32"/>
        </w:rPr>
        <w:t> </w:t>
      </w:r>
    </w:p>
    <w:p w:rsidR="00C5568E" w:rsidRPr="007E3B2B" w:rsidRDefault="002C72AE" w:rsidP="007E3B2B">
      <w:pPr>
        <w:shd w:val="clear" w:color="auto" w:fill="FFFFFF"/>
        <w:spacing w:line="580" w:lineRule="exact"/>
        <w:ind w:firstLineChars="200" w:firstLine="640"/>
        <w:rPr>
          <w:rFonts w:ascii="Arial" w:eastAsia="宋体" w:hAnsi="Arial" w:cs="Arial"/>
          <w:kern w:val="0"/>
          <w:szCs w:val="21"/>
        </w:rPr>
      </w:pPr>
      <w:r w:rsidRPr="00971A85">
        <w:rPr>
          <w:rFonts w:ascii="楷体" w:eastAsia="楷体" w:hAnsi="楷体" w:cs="Arial" w:hint="eastAsia"/>
          <w:b/>
          <w:bCs/>
          <w:kern w:val="0"/>
          <w:sz w:val="32"/>
          <w:szCs w:val="32"/>
        </w:rPr>
        <w:t>(</w:t>
      </w:r>
      <w:proofErr w:type="gramStart"/>
      <w:r w:rsidRPr="00971A85">
        <w:rPr>
          <w:rFonts w:ascii="楷体" w:eastAsia="楷体" w:hAnsi="楷体" w:cs="Arial" w:hint="eastAsia"/>
          <w:b/>
          <w:bCs/>
          <w:kern w:val="0"/>
          <w:sz w:val="32"/>
          <w:szCs w:val="32"/>
        </w:rPr>
        <w:t>一</w:t>
      </w:r>
      <w:proofErr w:type="gramEnd"/>
      <w:r w:rsidRPr="00971A85">
        <w:rPr>
          <w:rFonts w:ascii="楷体" w:eastAsia="楷体" w:hAnsi="楷体" w:cs="Arial" w:hint="eastAsia"/>
          <w:b/>
          <w:bCs/>
          <w:kern w:val="0"/>
          <w:sz w:val="32"/>
          <w:szCs w:val="32"/>
        </w:rPr>
        <w:t>)全县公共财政收支决算情况</w:t>
      </w:r>
    </w:p>
    <w:p w:rsidR="00A4364B" w:rsidRPr="00A4364B" w:rsidRDefault="00A4364B" w:rsidP="0081545F">
      <w:pPr>
        <w:widowControl/>
        <w:shd w:val="clear" w:color="auto" w:fill="FFFFFF"/>
        <w:spacing w:line="580" w:lineRule="exact"/>
        <w:ind w:firstLine="632"/>
        <w:jc w:val="left"/>
        <w:rPr>
          <w:rFonts w:ascii="Calibri" w:eastAsia="宋体" w:hAnsi="Calibri" w:cs="Calibri"/>
          <w:kern w:val="0"/>
          <w:szCs w:val="21"/>
        </w:rPr>
      </w:pPr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全县一般公共预算收入完成9.6亿元，为预算的105.8%，比去年增长14.8%，增收1.2亿元。加上中央、</w:t>
      </w:r>
      <w:proofErr w:type="gramStart"/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省各项</w:t>
      </w:r>
      <w:proofErr w:type="gramEnd"/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补助收入37.9亿元、地方政府一般债券收入3.1亿元、上年结余结转收入2932万元、调入资金1.8亿元，减去上解上级支出1.4亿元、地方政府一般债券还本支出1.6亿元、安排预算稳定调节基金8352万元，全年收入合计48.8亿元。</w:t>
      </w:r>
    </w:p>
    <w:p w:rsidR="00A4364B" w:rsidRPr="00A4364B" w:rsidRDefault="00A4364B" w:rsidP="0081545F">
      <w:pPr>
        <w:widowControl/>
        <w:shd w:val="clear" w:color="auto" w:fill="FFFFFF"/>
        <w:spacing w:line="580" w:lineRule="exact"/>
        <w:ind w:firstLine="632"/>
        <w:jc w:val="left"/>
        <w:rPr>
          <w:rFonts w:ascii="Calibri" w:eastAsia="宋体" w:hAnsi="Calibri" w:cs="Calibri"/>
          <w:kern w:val="0"/>
          <w:szCs w:val="21"/>
        </w:rPr>
      </w:pPr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全县一般公共预算支出完成48.7亿元，为预算的99.7%，比去年增长6.6%，增支3亿元。收支相抵，当年结余结转1494万元。</w:t>
      </w:r>
    </w:p>
    <w:p w:rsidR="00A4364B" w:rsidRPr="00A4364B" w:rsidRDefault="00A4364B" w:rsidP="0081545F">
      <w:pPr>
        <w:widowControl/>
        <w:shd w:val="clear" w:color="auto" w:fill="FFFFFF"/>
        <w:spacing w:line="580" w:lineRule="exact"/>
        <w:ind w:firstLine="634"/>
        <w:jc w:val="left"/>
        <w:rPr>
          <w:rFonts w:ascii="楷体" w:eastAsia="楷体" w:hAnsi="楷体" w:cs="Calibri"/>
          <w:kern w:val="0"/>
          <w:szCs w:val="21"/>
        </w:rPr>
      </w:pPr>
      <w:r w:rsidRPr="00971A85">
        <w:rPr>
          <w:rFonts w:ascii="楷体" w:eastAsia="楷体" w:hAnsi="楷体" w:cs="Calibri" w:hint="eastAsia"/>
          <w:b/>
          <w:bCs/>
          <w:spacing w:val="-2"/>
          <w:kern w:val="0"/>
          <w:sz w:val="32"/>
          <w:szCs w:val="32"/>
        </w:rPr>
        <w:t>（二）</w:t>
      </w:r>
      <w:r w:rsidRPr="00A4364B">
        <w:rPr>
          <w:rFonts w:ascii="楷体" w:eastAsia="楷体" w:hAnsi="楷体" w:cs="Calibri" w:hint="eastAsia"/>
          <w:b/>
          <w:bCs/>
          <w:spacing w:val="-2"/>
          <w:kern w:val="0"/>
          <w:sz w:val="32"/>
          <w:szCs w:val="32"/>
        </w:rPr>
        <w:t>全县政府性基金收支决算情况</w:t>
      </w:r>
    </w:p>
    <w:p w:rsidR="00A4364B" w:rsidRPr="00A4364B" w:rsidRDefault="00A4364B" w:rsidP="0081545F">
      <w:pPr>
        <w:widowControl/>
        <w:shd w:val="clear" w:color="auto" w:fill="FFFFFF"/>
        <w:spacing w:line="580" w:lineRule="exact"/>
        <w:ind w:firstLine="632"/>
        <w:jc w:val="left"/>
        <w:rPr>
          <w:rFonts w:ascii="Calibri" w:eastAsia="宋体" w:hAnsi="Calibri" w:cs="Calibri"/>
          <w:kern w:val="0"/>
          <w:szCs w:val="21"/>
        </w:rPr>
      </w:pPr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全县政府性基金收入完成427万元，为预算的2%，比去年下降98%，减收2亿元。加上中央、</w:t>
      </w:r>
      <w:proofErr w:type="gramStart"/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省各项</w:t>
      </w:r>
      <w:proofErr w:type="gramEnd"/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补助收入6959万元、地方政府专项债券收入9900万元、上年结余结转收入-469</w:t>
      </w:r>
      <w:r w:rsidR="002F79C6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万</w:t>
      </w:r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t>元、调入资金1万元，减去上解上级支出10万元、地方政府专项债券还本支出0元、调出资金3344万元，基金总收入1.3亿元，下降69%。基金收入下降，主要原因是国有土地使用权出让收入比上年减收1.6亿元。</w:t>
      </w:r>
    </w:p>
    <w:p w:rsidR="00A4364B" w:rsidRPr="00A4364B" w:rsidRDefault="00A4364B" w:rsidP="0081545F">
      <w:pPr>
        <w:widowControl/>
        <w:shd w:val="clear" w:color="auto" w:fill="FFFFFF"/>
        <w:spacing w:line="580" w:lineRule="exact"/>
        <w:ind w:firstLine="632"/>
        <w:jc w:val="left"/>
        <w:rPr>
          <w:rFonts w:ascii="Calibri" w:eastAsia="宋体" w:hAnsi="Calibri" w:cs="Calibri"/>
          <w:kern w:val="0"/>
          <w:szCs w:val="21"/>
        </w:rPr>
      </w:pPr>
      <w:r w:rsidRPr="00A4364B">
        <w:rPr>
          <w:rFonts w:ascii="仿宋" w:eastAsia="仿宋" w:hAnsi="仿宋" w:cs="Calibri" w:hint="eastAsia"/>
          <w:spacing w:val="-2"/>
          <w:kern w:val="0"/>
          <w:sz w:val="32"/>
          <w:szCs w:val="32"/>
        </w:rPr>
        <w:lastRenderedPageBreak/>
        <w:t>全县政府性基金支出完成1.3亿元，为预算的99.8%，比去年下降68%，减支2.9亿元。收支相抵，当年结余结转32万元。基金支出下降，主要原因是国有土地使用权出让收入安排的支出比上年减支1.4亿元。</w:t>
      </w:r>
    </w:p>
    <w:p w:rsidR="00A749D0" w:rsidRPr="00971A85" w:rsidRDefault="00763ADD" w:rsidP="00DA7316">
      <w:pPr>
        <w:tabs>
          <w:tab w:val="left" w:pos="1080"/>
        </w:tabs>
        <w:topLinePunct/>
        <w:autoSpaceDE w:val="0"/>
        <w:spacing w:line="580" w:lineRule="exact"/>
        <w:ind w:firstLineChars="200" w:firstLine="640"/>
        <w:rPr>
          <w:rFonts w:ascii="楷体" w:eastAsia="楷体" w:hAnsi="楷体" w:cs="Arial"/>
          <w:b/>
          <w:bCs/>
          <w:kern w:val="0"/>
          <w:sz w:val="32"/>
          <w:szCs w:val="32"/>
        </w:rPr>
      </w:pPr>
      <w:r w:rsidRPr="00971A85">
        <w:rPr>
          <w:rFonts w:ascii="楷体" w:eastAsia="楷体" w:hAnsi="楷体" w:cs="Arial" w:hint="eastAsia"/>
          <w:b/>
          <w:bCs/>
          <w:kern w:val="0"/>
          <w:sz w:val="32"/>
          <w:szCs w:val="32"/>
        </w:rPr>
        <w:t>（三）</w:t>
      </w:r>
      <w:r w:rsidR="00A749D0" w:rsidRPr="00971A85">
        <w:rPr>
          <w:rFonts w:ascii="楷体" w:eastAsia="楷体" w:hAnsi="楷体" w:cs="Arial" w:hint="eastAsia"/>
          <w:b/>
          <w:bCs/>
          <w:kern w:val="0"/>
          <w:sz w:val="32"/>
          <w:szCs w:val="32"/>
        </w:rPr>
        <w:t>全县社会保险基金预算</w:t>
      </w:r>
    </w:p>
    <w:p w:rsidR="00A749D0" w:rsidRPr="00971A85" w:rsidRDefault="00A749D0" w:rsidP="0081545F">
      <w:pPr>
        <w:tabs>
          <w:tab w:val="left" w:pos="1080"/>
        </w:tabs>
        <w:topLinePunct/>
        <w:autoSpaceDE w:val="0"/>
        <w:spacing w:line="580" w:lineRule="exact"/>
        <w:ind w:firstLineChars="200" w:firstLine="640"/>
        <w:rPr>
          <w:rFonts w:ascii="仿宋" w:eastAsia="仿宋" w:hAnsi="仿宋" w:cs="Arial"/>
          <w:kern w:val="0"/>
          <w:szCs w:val="21"/>
        </w:rPr>
      </w:pPr>
      <w:r w:rsidRPr="00971A85">
        <w:rPr>
          <w:rFonts w:ascii="仿宋" w:eastAsia="仿宋" w:hAnsi="仿宋" w:cs="Arial" w:hint="eastAsia"/>
          <w:kern w:val="0"/>
          <w:sz w:val="32"/>
          <w:szCs w:val="32"/>
        </w:rPr>
        <w:t>2016年，全县社会保险基金收入完成10</w:t>
      </w:r>
      <w:r w:rsidR="00D36E45" w:rsidRPr="00971A85">
        <w:rPr>
          <w:rFonts w:ascii="仿宋" w:eastAsia="仿宋" w:hAnsi="仿宋" w:cs="Arial" w:hint="eastAsia"/>
          <w:kern w:val="0"/>
          <w:sz w:val="32"/>
          <w:szCs w:val="32"/>
        </w:rPr>
        <w:t>.4亿元</w:t>
      </w:r>
      <w:r w:rsidRPr="00971A85">
        <w:rPr>
          <w:rFonts w:ascii="仿宋" w:eastAsia="仿宋" w:hAnsi="仿宋" w:cs="Arial" w:hint="eastAsia"/>
          <w:kern w:val="0"/>
          <w:sz w:val="32"/>
          <w:szCs w:val="32"/>
        </w:rPr>
        <w:t>，为预算的96%；全县社会保险基金支出完成9</w:t>
      </w:r>
      <w:r w:rsidR="00D36E45" w:rsidRPr="00971A85">
        <w:rPr>
          <w:rFonts w:ascii="仿宋" w:eastAsia="仿宋" w:hAnsi="仿宋" w:cs="Arial" w:hint="eastAsia"/>
          <w:kern w:val="0"/>
          <w:sz w:val="32"/>
          <w:szCs w:val="32"/>
        </w:rPr>
        <w:t>.8亿元</w:t>
      </w:r>
      <w:r w:rsidRPr="00971A85">
        <w:rPr>
          <w:rFonts w:ascii="仿宋" w:eastAsia="仿宋" w:hAnsi="仿宋" w:cs="Arial" w:hint="eastAsia"/>
          <w:kern w:val="0"/>
          <w:sz w:val="32"/>
          <w:szCs w:val="32"/>
        </w:rPr>
        <w:t>，为预算的97%，累计收支结余4</w:t>
      </w:r>
      <w:r w:rsidR="00D36E45" w:rsidRPr="00971A85">
        <w:rPr>
          <w:rFonts w:ascii="仿宋" w:eastAsia="仿宋" w:hAnsi="仿宋" w:cs="Arial" w:hint="eastAsia"/>
          <w:kern w:val="0"/>
          <w:sz w:val="32"/>
          <w:szCs w:val="32"/>
        </w:rPr>
        <w:t>.</w:t>
      </w:r>
      <w:r w:rsidRPr="00971A85">
        <w:rPr>
          <w:rFonts w:ascii="仿宋" w:eastAsia="仿宋" w:hAnsi="仿宋" w:cs="Arial" w:hint="eastAsia"/>
          <w:kern w:val="0"/>
          <w:sz w:val="32"/>
          <w:szCs w:val="32"/>
        </w:rPr>
        <w:t>8</w:t>
      </w:r>
      <w:r w:rsidR="00D36E45" w:rsidRPr="00971A85">
        <w:rPr>
          <w:rFonts w:ascii="仿宋" w:eastAsia="仿宋" w:hAnsi="仿宋" w:cs="Arial" w:hint="eastAsia"/>
          <w:kern w:val="0"/>
          <w:sz w:val="32"/>
          <w:szCs w:val="32"/>
        </w:rPr>
        <w:t>亿</w:t>
      </w:r>
      <w:r w:rsidRPr="00971A85">
        <w:rPr>
          <w:rFonts w:ascii="仿宋" w:eastAsia="仿宋" w:hAnsi="仿宋" w:cs="Arial" w:hint="eastAsia"/>
          <w:kern w:val="0"/>
          <w:sz w:val="32"/>
          <w:szCs w:val="32"/>
        </w:rPr>
        <w:t>元。</w:t>
      </w:r>
    </w:p>
    <w:p w:rsidR="00C5568E" w:rsidRPr="00971A85" w:rsidRDefault="002C72AE" w:rsidP="00DA7316">
      <w:pPr>
        <w:shd w:val="clear" w:color="auto" w:fill="FFFFFF"/>
        <w:spacing w:line="580" w:lineRule="exact"/>
        <w:ind w:firstLineChars="200" w:firstLine="640"/>
        <w:rPr>
          <w:rFonts w:ascii="Arial" w:eastAsia="宋体" w:hAnsi="Arial" w:cs="Arial"/>
          <w:kern w:val="0"/>
          <w:szCs w:val="21"/>
        </w:rPr>
      </w:pPr>
      <w:r w:rsidRPr="00971A85">
        <w:rPr>
          <w:rFonts w:ascii="楷体" w:eastAsia="楷体" w:hAnsi="Arial" w:cs="Arial" w:hint="eastAsia"/>
          <w:b/>
          <w:bCs/>
          <w:kern w:val="0"/>
          <w:sz w:val="32"/>
          <w:szCs w:val="32"/>
        </w:rPr>
        <w:t>（四）201</w:t>
      </w:r>
      <w:r w:rsidR="00AE4AB9" w:rsidRPr="00971A85">
        <w:rPr>
          <w:rFonts w:ascii="楷体" w:eastAsia="楷体" w:hAnsi="Arial" w:cs="Arial" w:hint="eastAsia"/>
          <w:b/>
          <w:bCs/>
          <w:kern w:val="0"/>
          <w:sz w:val="32"/>
          <w:szCs w:val="32"/>
        </w:rPr>
        <w:t>6</w:t>
      </w:r>
      <w:r w:rsidRPr="00971A85">
        <w:rPr>
          <w:rFonts w:ascii="楷体" w:eastAsia="楷体" w:hAnsi="Arial" w:cs="Arial" w:hint="eastAsia"/>
          <w:b/>
          <w:bCs/>
          <w:kern w:val="0"/>
          <w:sz w:val="32"/>
          <w:szCs w:val="32"/>
        </w:rPr>
        <w:t>年政府债务决算情况</w:t>
      </w:r>
    </w:p>
    <w:p w:rsidR="009D7AC1" w:rsidRPr="00971A85" w:rsidRDefault="00466BE1" w:rsidP="0081545F">
      <w:pPr>
        <w:spacing w:line="580" w:lineRule="exact"/>
        <w:ind w:firstLineChars="200" w:firstLine="640"/>
        <w:jc w:val="left"/>
        <w:rPr>
          <w:rFonts w:ascii="黑体" w:eastAsia="黑体" w:hAnsi="黑体" w:cs="楷体"/>
          <w:b/>
          <w:bCs/>
          <w:kern w:val="0"/>
          <w:sz w:val="32"/>
          <w:szCs w:val="32"/>
        </w:rPr>
      </w:pP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省财政厅核定我县2016年政府债务限额11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.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6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亿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元，（其中，一般债务</w:t>
      </w:r>
      <w:r w:rsidR="00A2562A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9.9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亿元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，专项债务1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.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7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亿元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）。</w:t>
      </w:r>
      <w:r w:rsidRPr="00971A85">
        <w:rPr>
          <w:rFonts w:ascii="仿宋" w:eastAsia="仿宋" w:hAnsi="仿宋" w:cs="Arial" w:hint="eastAsia"/>
          <w:kern w:val="0"/>
          <w:sz w:val="32"/>
          <w:szCs w:val="32"/>
        </w:rPr>
        <w:t>截至2016年底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我县政府债务余额10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.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9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亿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元，（其中，一般债务9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.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2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亿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元，专项债务1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.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7</w:t>
      </w:r>
      <w:r w:rsidR="002D016E"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亿</w:t>
      </w:r>
      <w:r w:rsidRPr="00971A85">
        <w:rPr>
          <w:rFonts w:ascii="仿宋" w:eastAsia="仿宋" w:hAnsi="仿宋" w:hint="eastAsia"/>
          <w:sz w:val="32"/>
          <w:szCs w:val="32"/>
          <w:shd w:val="clear" w:color="auto" w:fill="FFFFFF"/>
        </w:rPr>
        <w:t>元）。</w:t>
      </w:r>
      <w:r w:rsidR="009D7AC1" w:rsidRPr="00971A85">
        <w:rPr>
          <w:rFonts w:ascii="仿宋" w:eastAsia="仿宋" w:hAnsi="仿宋" w:cs="宋体" w:hint="eastAsia"/>
          <w:kern w:val="0"/>
          <w:sz w:val="32"/>
          <w:szCs w:val="32"/>
        </w:rPr>
        <w:t>2016年我县综合债务率为23%，其中一般债务率为17%，专项债务率为13%。低于综合债务率目标50%以内。</w:t>
      </w:r>
    </w:p>
    <w:p w:rsidR="00C5568E" w:rsidRPr="00971A85" w:rsidRDefault="00C5568E" w:rsidP="0081545F">
      <w:pPr>
        <w:pStyle w:val="a5"/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C5568E" w:rsidRPr="00971A85" w:rsidSect="005A0DD5">
      <w:footerReference w:type="default" r:id="rId8"/>
      <w:pgSz w:w="11906" w:h="16838"/>
      <w:pgMar w:top="1928" w:right="1304" w:bottom="158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5B1" w:rsidRDefault="003775B1" w:rsidP="00C5568E">
      <w:r>
        <w:separator/>
      </w:r>
    </w:p>
  </w:endnote>
  <w:endnote w:type="continuationSeparator" w:id="1">
    <w:p w:rsidR="003775B1" w:rsidRDefault="003775B1" w:rsidP="00C5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561561"/>
      <w:docPartObj>
        <w:docPartGallery w:val="Page Numbers (Bottom of Page)"/>
        <w:docPartUnique/>
      </w:docPartObj>
    </w:sdtPr>
    <w:sdtContent>
      <w:p w:rsidR="004A7C4A" w:rsidRDefault="004A7C4A">
        <w:pPr>
          <w:pStyle w:val="a3"/>
          <w:jc w:val="right"/>
        </w:pPr>
        <w:r>
          <w:t>—</w:t>
        </w:r>
        <w:r w:rsidR="00DA7316">
          <w:fldChar w:fldCharType="begin"/>
        </w:r>
        <w:r>
          <w:instrText>PAGE   \* MERGEFORMAT</w:instrText>
        </w:r>
        <w:r w:rsidR="00DA7316">
          <w:fldChar w:fldCharType="separate"/>
        </w:r>
        <w:r w:rsidR="007E3B2B" w:rsidRPr="007E3B2B">
          <w:rPr>
            <w:noProof/>
            <w:lang w:val="zh-CN"/>
          </w:rPr>
          <w:t>1</w:t>
        </w:r>
        <w:r w:rsidR="00DA7316">
          <w:fldChar w:fldCharType="end"/>
        </w:r>
        <w:r>
          <w:t>—</w:t>
        </w:r>
      </w:p>
    </w:sdtContent>
  </w:sdt>
  <w:p w:rsidR="00C5568E" w:rsidRDefault="00C556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5B1" w:rsidRDefault="003775B1" w:rsidP="00C5568E">
      <w:r>
        <w:separator/>
      </w:r>
    </w:p>
  </w:footnote>
  <w:footnote w:type="continuationSeparator" w:id="1">
    <w:p w:rsidR="003775B1" w:rsidRDefault="003775B1" w:rsidP="00C556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18C0A"/>
    <w:multiLevelType w:val="singleLevel"/>
    <w:tmpl w:val="57B18C0A"/>
    <w:lvl w:ilvl="0">
      <w:start w:val="6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4B3B"/>
    <w:rsid w:val="00003E78"/>
    <w:rsid w:val="00072ED5"/>
    <w:rsid w:val="000A7A86"/>
    <w:rsid w:val="000E7AD9"/>
    <w:rsid w:val="000F51FA"/>
    <w:rsid w:val="00113438"/>
    <w:rsid w:val="00187192"/>
    <w:rsid w:val="001D1DE5"/>
    <w:rsid w:val="0022101E"/>
    <w:rsid w:val="002220A4"/>
    <w:rsid w:val="0027378D"/>
    <w:rsid w:val="002C72AE"/>
    <w:rsid w:val="002D016E"/>
    <w:rsid w:val="002F515C"/>
    <w:rsid w:val="002F79C6"/>
    <w:rsid w:val="00332942"/>
    <w:rsid w:val="00342954"/>
    <w:rsid w:val="00370EB9"/>
    <w:rsid w:val="003775B1"/>
    <w:rsid w:val="003C06A5"/>
    <w:rsid w:val="003D741B"/>
    <w:rsid w:val="003D79B4"/>
    <w:rsid w:val="003E213F"/>
    <w:rsid w:val="003F4937"/>
    <w:rsid w:val="00424EA4"/>
    <w:rsid w:val="00430B2F"/>
    <w:rsid w:val="00441A0A"/>
    <w:rsid w:val="00452D9F"/>
    <w:rsid w:val="00466BE1"/>
    <w:rsid w:val="004865FB"/>
    <w:rsid w:val="004A11C2"/>
    <w:rsid w:val="004A3B7E"/>
    <w:rsid w:val="004A7C4A"/>
    <w:rsid w:val="004C6BDA"/>
    <w:rsid w:val="004D6D0F"/>
    <w:rsid w:val="004F6539"/>
    <w:rsid w:val="00590EDB"/>
    <w:rsid w:val="005A0DD5"/>
    <w:rsid w:val="006051E4"/>
    <w:rsid w:val="00661198"/>
    <w:rsid w:val="006B3B83"/>
    <w:rsid w:val="007214D4"/>
    <w:rsid w:val="00754771"/>
    <w:rsid w:val="00763ADD"/>
    <w:rsid w:val="00766399"/>
    <w:rsid w:val="00796B92"/>
    <w:rsid w:val="007E3B2B"/>
    <w:rsid w:val="0081545F"/>
    <w:rsid w:val="00817268"/>
    <w:rsid w:val="008218C0"/>
    <w:rsid w:val="0083470C"/>
    <w:rsid w:val="008464B7"/>
    <w:rsid w:val="00892307"/>
    <w:rsid w:val="00897001"/>
    <w:rsid w:val="008B3216"/>
    <w:rsid w:val="008C2066"/>
    <w:rsid w:val="008D269F"/>
    <w:rsid w:val="008E2956"/>
    <w:rsid w:val="008F05CC"/>
    <w:rsid w:val="00917FE6"/>
    <w:rsid w:val="009353EC"/>
    <w:rsid w:val="0096540E"/>
    <w:rsid w:val="00971A85"/>
    <w:rsid w:val="0099349A"/>
    <w:rsid w:val="009C4200"/>
    <w:rsid w:val="009C5940"/>
    <w:rsid w:val="009D48DC"/>
    <w:rsid w:val="009D7AC1"/>
    <w:rsid w:val="009E7B76"/>
    <w:rsid w:val="00A2562A"/>
    <w:rsid w:val="00A4364B"/>
    <w:rsid w:val="00A54AE9"/>
    <w:rsid w:val="00A749D0"/>
    <w:rsid w:val="00AA1068"/>
    <w:rsid w:val="00AA72D5"/>
    <w:rsid w:val="00AB5D12"/>
    <w:rsid w:val="00AE4AB9"/>
    <w:rsid w:val="00AF398D"/>
    <w:rsid w:val="00B106A5"/>
    <w:rsid w:val="00B24793"/>
    <w:rsid w:val="00B60C6F"/>
    <w:rsid w:val="00B67498"/>
    <w:rsid w:val="00B677BA"/>
    <w:rsid w:val="00B67C20"/>
    <w:rsid w:val="00B75C7E"/>
    <w:rsid w:val="00B82765"/>
    <w:rsid w:val="00B90B22"/>
    <w:rsid w:val="00BB528C"/>
    <w:rsid w:val="00BC7406"/>
    <w:rsid w:val="00BD02AF"/>
    <w:rsid w:val="00BF58B4"/>
    <w:rsid w:val="00C03729"/>
    <w:rsid w:val="00C43FC9"/>
    <w:rsid w:val="00C5568E"/>
    <w:rsid w:val="00CE1FFA"/>
    <w:rsid w:val="00CE7738"/>
    <w:rsid w:val="00D36E45"/>
    <w:rsid w:val="00D40E50"/>
    <w:rsid w:val="00D63C3F"/>
    <w:rsid w:val="00DA7316"/>
    <w:rsid w:val="00DC3548"/>
    <w:rsid w:val="00DE4743"/>
    <w:rsid w:val="00E04D77"/>
    <w:rsid w:val="00E17704"/>
    <w:rsid w:val="00E34B3B"/>
    <w:rsid w:val="00E35736"/>
    <w:rsid w:val="00E36E2F"/>
    <w:rsid w:val="00E44B8C"/>
    <w:rsid w:val="00E534AE"/>
    <w:rsid w:val="00E768EE"/>
    <w:rsid w:val="00EB762A"/>
    <w:rsid w:val="00EE58A0"/>
    <w:rsid w:val="00F574E0"/>
    <w:rsid w:val="00F93180"/>
    <w:rsid w:val="00FF3FCC"/>
    <w:rsid w:val="00FF71D1"/>
    <w:rsid w:val="123E2379"/>
    <w:rsid w:val="17965E76"/>
    <w:rsid w:val="1C0C3908"/>
    <w:rsid w:val="2181551B"/>
    <w:rsid w:val="235A565C"/>
    <w:rsid w:val="25C47D3C"/>
    <w:rsid w:val="26BC3DB2"/>
    <w:rsid w:val="27FF7DE0"/>
    <w:rsid w:val="32AD24FE"/>
    <w:rsid w:val="33C02619"/>
    <w:rsid w:val="33C27BBD"/>
    <w:rsid w:val="4095370E"/>
    <w:rsid w:val="43353C5E"/>
    <w:rsid w:val="4BF51A3A"/>
    <w:rsid w:val="4F7D4798"/>
    <w:rsid w:val="50A21CD5"/>
    <w:rsid w:val="536C66AD"/>
    <w:rsid w:val="55413C10"/>
    <w:rsid w:val="56DD77CA"/>
    <w:rsid w:val="58E27F93"/>
    <w:rsid w:val="5BB71EC4"/>
    <w:rsid w:val="64C423F2"/>
    <w:rsid w:val="70BB1C3B"/>
    <w:rsid w:val="732818CA"/>
    <w:rsid w:val="762931EA"/>
    <w:rsid w:val="7D36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8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55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5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pple-converted-space">
    <w:name w:val="apple-converted-space"/>
    <w:basedOn w:val="a0"/>
    <w:rsid w:val="00C5568E"/>
  </w:style>
  <w:style w:type="character" w:customStyle="1" w:styleId="Char0">
    <w:name w:val="页眉 Char"/>
    <w:basedOn w:val="a0"/>
    <w:link w:val="a4"/>
    <w:uiPriority w:val="99"/>
    <w:rsid w:val="00C5568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5568E"/>
    <w:rPr>
      <w:sz w:val="18"/>
      <w:szCs w:val="18"/>
    </w:rPr>
  </w:style>
  <w:style w:type="paragraph" w:styleId="a5">
    <w:name w:val="No Spacing"/>
    <w:uiPriority w:val="1"/>
    <w:qFormat/>
    <w:rsid w:val="004D6D0F"/>
    <w:pPr>
      <w:widowControl w:val="0"/>
      <w:jc w:val="both"/>
    </w:pPr>
    <w:rPr>
      <w:kern w:val="2"/>
      <w:sz w:val="21"/>
      <w:szCs w:val="22"/>
    </w:rPr>
  </w:style>
  <w:style w:type="paragraph" w:styleId="a6">
    <w:name w:val="Normal (Web)"/>
    <w:basedOn w:val="a"/>
    <w:rsid w:val="00A749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AB5D1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5D1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8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55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55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pple-converted-space">
    <w:name w:val="apple-converted-space"/>
    <w:basedOn w:val="a0"/>
    <w:rsid w:val="00C5568E"/>
  </w:style>
  <w:style w:type="character" w:customStyle="1" w:styleId="Char0">
    <w:name w:val="页眉 Char"/>
    <w:basedOn w:val="a0"/>
    <w:link w:val="a4"/>
    <w:uiPriority w:val="99"/>
    <w:rsid w:val="00C5568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5568E"/>
    <w:rPr>
      <w:sz w:val="18"/>
      <w:szCs w:val="18"/>
    </w:rPr>
  </w:style>
  <w:style w:type="paragraph" w:styleId="a5">
    <w:name w:val="No Spacing"/>
    <w:uiPriority w:val="1"/>
    <w:qFormat/>
    <w:rsid w:val="004D6D0F"/>
    <w:pPr>
      <w:widowControl w:val="0"/>
      <w:jc w:val="both"/>
    </w:pPr>
    <w:rPr>
      <w:kern w:val="2"/>
      <w:sz w:val="21"/>
      <w:szCs w:val="22"/>
    </w:rPr>
  </w:style>
  <w:style w:type="paragraph" w:styleId="a6">
    <w:name w:val="Normal (Web)"/>
    <w:basedOn w:val="a"/>
    <w:rsid w:val="00A749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AB5D1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B5D1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125</Words>
  <Characters>717</Characters>
  <Application>Microsoft Office Word</Application>
  <DocSecurity>0</DocSecurity>
  <Lines>5</Lines>
  <Paragraphs>1</Paragraphs>
  <ScaleCrop>false</ScaleCrop>
  <Company>微软中国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6</cp:revision>
  <cp:lastPrinted>2017-09-20T09:28:00Z</cp:lastPrinted>
  <dcterms:created xsi:type="dcterms:W3CDTF">2017-09-19T01:21:00Z</dcterms:created>
  <dcterms:modified xsi:type="dcterms:W3CDTF">2017-09-20T09:31:00Z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